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7A" w:rsidRDefault="004F017A" w:rsidP="004F017A">
      <w:pPr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اسناد مزایده یکدستگاه خودرو وانت نیسان به شماره انتظامی 349الف13 ایران33</w:t>
      </w:r>
    </w:p>
    <w:p w:rsidR="00E91878" w:rsidRDefault="00E91878" w:rsidP="004F017A">
      <w:pPr>
        <w:jc w:val="center"/>
        <w:rPr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اداره کل دامپزشکی استان تهران در نظر دارد با رعایت ماده 37 آیین نامه معاملات دولتی و همچنین آیین نامه اجرائی مواد 1و3 لایحه قانونی نحوه استفاده از اتومبیل های دولتی و فروش اتومبیل های زائد، نسبت به فروش </w:t>
      </w:r>
      <w:r>
        <w:rPr>
          <w:rFonts w:hint="cs"/>
          <w:b/>
          <w:bCs/>
          <w:sz w:val="24"/>
          <w:szCs w:val="24"/>
          <w:rtl/>
          <w:lang w:bidi="fa-IR"/>
        </w:rPr>
        <w:t>یک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دستگاه خودرو از طریق مزایده در سامانه تدارکات الکترونیک دولت اقدام نماید.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1-  موضوع مزایده : 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فروش </w:t>
      </w:r>
      <w:r>
        <w:rPr>
          <w:rFonts w:hint="cs"/>
          <w:b/>
          <w:bCs/>
          <w:sz w:val="24"/>
          <w:szCs w:val="24"/>
          <w:rtl/>
          <w:lang w:bidi="fa-IR"/>
        </w:rPr>
        <w:t>یک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دستگاه خودروبا مشخصات </w:t>
      </w:r>
      <w:r>
        <w:rPr>
          <w:rFonts w:hint="cs"/>
          <w:b/>
          <w:bCs/>
          <w:sz w:val="24"/>
          <w:szCs w:val="24"/>
          <w:rtl/>
          <w:lang w:bidi="fa-IR"/>
        </w:rPr>
        <w:t>درج شده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در جدول زیر: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08"/>
        <w:gridCol w:w="1260"/>
        <w:gridCol w:w="1350"/>
        <w:gridCol w:w="607"/>
        <w:gridCol w:w="653"/>
        <w:gridCol w:w="720"/>
        <w:gridCol w:w="157"/>
        <w:gridCol w:w="563"/>
        <w:gridCol w:w="157"/>
        <w:gridCol w:w="720"/>
        <w:gridCol w:w="23"/>
        <w:gridCol w:w="697"/>
        <w:gridCol w:w="630"/>
        <w:gridCol w:w="792"/>
        <w:gridCol w:w="239"/>
      </w:tblGrid>
      <w:tr w:rsidR="004F017A" w:rsidRPr="00784361" w:rsidTr="00413AE6">
        <w:tc>
          <w:tcPr>
            <w:tcW w:w="1008" w:type="dxa"/>
            <w:tcBorders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بیمه ثالث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شماره انتظامی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شماره شاسی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شماره موتور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سوخت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مدل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رنگ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تیپ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سیستم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4F017A" w:rsidRPr="00784361" w:rsidTr="00413AE6">
        <w:trPr>
          <w:trHeight w:val="70"/>
        </w:trPr>
        <w:tc>
          <w:tcPr>
            <w:tcW w:w="1008" w:type="dxa"/>
            <w:tcBorders>
              <w:bottom w:val="nil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F017A" w:rsidRPr="004F017A" w:rsidRDefault="004F017A" w:rsidP="00F7408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57" w:type="dxa"/>
            <w:gridSpan w:val="2"/>
            <w:tcBorders>
              <w:bottom w:val="nil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1530" w:type="dxa"/>
            <w:gridSpan w:val="3"/>
            <w:tcBorders>
              <w:bottom w:val="nil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792" w:type="dxa"/>
            <w:tcBorders>
              <w:bottom w:val="nil"/>
              <w:right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4F017A" w:rsidRPr="00784361" w:rsidTr="00413AE6"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4F017A" w:rsidRPr="004F017A" w:rsidRDefault="004F017A" w:rsidP="004F017A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11/2/01404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349الف13ایران33140</w:t>
            </w:r>
          </w:p>
        </w:tc>
        <w:tc>
          <w:tcPr>
            <w:tcW w:w="1957" w:type="dxa"/>
            <w:gridSpan w:val="2"/>
            <w:tcBorders>
              <w:top w:val="nil"/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rtl/>
                <w:lang w:bidi="fa-IR"/>
              </w:rPr>
            </w:pPr>
            <w:r w:rsidRPr="008122EA">
              <w:rPr>
                <w:b/>
                <w:bCs/>
                <w:sz w:val="20"/>
                <w:szCs w:val="20"/>
                <w:lang w:bidi="fa-IR"/>
              </w:rPr>
              <w:t>PCBGLUD</w:t>
            </w:r>
            <w:r w:rsidRPr="008122E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22719652</w:t>
            </w:r>
          </w:p>
        </w:tc>
        <w:tc>
          <w:tcPr>
            <w:tcW w:w="1530" w:type="dxa"/>
            <w:gridSpan w:val="3"/>
            <w:tcBorders>
              <w:top w:val="nil"/>
              <w:bottom w:val="single" w:sz="4" w:space="0" w:color="auto"/>
            </w:tcBorders>
          </w:tcPr>
          <w:p w:rsidR="004F017A" w:rsidRPr="004F017A" w:rsidRDefault="004F017A" w:rsidP="00413AE6">
            <w:pPr>
              <w:jc w:val="right"/>
              <w:rPr>
                <w:b/>
                <w:bCs/>
                <w:lang w:bidi="fa-IR"/>
              </w:rPr>
            </w:pPr>
            <w:r w:rsidRPr="00413AE6">
              <w:rPr>
                <w:b/>
                <w:bCs/>
                <w:sz w:val="20"/>
                <w:szCs w:val="20"/>
                <w:lang w:bidi="fa-IR"/>
              </w:rPr>
              <w:t>KA</w:t>
            </w:r>
            <w:r w:rsidR="00413AE6" w:rsidRPr="00413AE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24949015</w:t>
            </w:r>
            <w:r w:rsidRPr="00413AE6">
              <w:rPr>
                <w:b/>
                <w:bCs/>
                <w:sz w:val="20"/>
                <w:szCs w:val="20"/>
                <w:lang w:bidi="fa-IR"/>
              </w:rPr>
              <w:t>Y</w:t>
            </w: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بنزین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F017A" w:rsidRPr="004F017A" w:rsidRDefault="004F017A" w:rsidP="004F017A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1388</w:t>
            </w: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:rsidR="004F017A" w:rsidRPr="004F017A" w:rsidRDefault="004F017A" w:rsidP="004F017A">
            <w:pPr>
              <w:rPr>
                <w:b/>
                <w:bCs/>
                <w:rtl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سفید روغنی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4F017A" w:rsidRPr="004F017A" w:rsidRDefault="004F017A" w:rsidP="004F017A">
            <w:pPr>
              <w:jc w:val="center"/>
              <w:rPr>
                <w:b/>
                <w:bCs/>
                <w:lang w:bidi="fa-IR"/>
              </w:rPr>
            </w:pPr>
            <w:r w:rsidRPr="004F017A">
              <w:rPr>
                <w:b/>
                <w:bCs/>
                <w:lang w:bidi="fa-IR"/>
              </w:rPr>
              <w:t>DX</w:t>
            </w:r>
          </w:p>
        </w:tc>
        <w:tc>
          <w:tcPr>
            <w:tcW w:w="7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017A" w:rsidRPr="004F017A" w:rsidRDefault="004F017A" w:rsidP="00F7408D">
            <w:pPr>
              <w:jc w:val="right"/>
              <w:rPr>
                <w:b/>
                <w:bCs/>
                <w:lang w:bidi="fa-IR"/>
              </w:rPr>
            </w:pPr>
            <w:r w:rsidRPr="004F017A">
              <w:rPr>
                <w:rFonts w:hint="cs"/>
                <w:b/>
                <w:bCs/>
                <w:rtl/>
                <w:lang w:bidi="fa-IR"/>
              </w:rPr>
              <w:t>نیسان دوکابین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4F017A" w:rsidRPr="00784361" w:rsidTr="00413AE6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4F017A" w:rsidRPr="00784361" w:rsidTr="00983DD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17A" w:rsidRPr="00784361" w:rsidRDefault="004F017A" w:rsidP="00F7408D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4F017A" w:rsidRPr="00784361" w:rsidRDefault="004F017A" w:rsidP="00983DD9">
      <w:pPr>
        <w:pBdr>
          <w:left w:val="single" w:sz="4" w:space="4" w:color="auto"/>
        </w:pBdr>
        <w:jc w:val="right"/>
        <w:rPr>
          <w:b/>
          <w:bCs/>
          <w:sz w:val="24"/>
          <w:szCs w:val="24"/>
          <w:rtl/>
          <w:lang w:bidi="fa-IR"/>
        </w:rPr>
      </w:pPr>
    </w:p>
    <w:p w:rsidR="004F017A" w:rsidRPr="00784361" w:rsidRDefault="00413AE6" w:rsidP="004F017A">
      <w:pPr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2- محل ، روز و ساعت  بازدید </w:t>
      </w:r>
    </w:p>
    <w:p w:rsidR="004F017A" w:rsidRPr="00784361" w:rsidRDefault="004F017A" w:rsidP="008122E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کیلومت 15 اتوبان تهران کرج بعد از پیکان شهر بلوار پژوهش اداره کل دامپزشکی استان تهران روز</w:t>
      </w:r>
      <w:r w:rsidR="008122EA">
        <w:rPr>
          <w:rFonts w:hint="cs"/>
          <w:b/>
          <w:bCs/>
          <w:sz w:val="24"/>
          <w:szCs w:val="24"/>
          <w:rtl/>
          <w:lang w:bidi="fa-IR"/>
        </w:rPr>
        <w:t>سه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شنبه مورخ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8122EA">
        <w:rPr>
          <w:rFonts w:hint="cs"/>
          <w:b/>
          <w:bCs/>
          <w:sz w:val="24"/>
          <w:szCs w:val="24"/>
          <w:rtl/>
          <w:lang w:bidi="fa-IR"/>
        </w:rPr>
        <w:t>19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>/</w:t>
      </w:r>
      <w:r w:rsidR="008122EA">
        <w:rPr>
          <w:rFonts w:hint="cs"/>
          <w:b/>
          <w:bCs/>
          <w:sz w:val="24"/>
          <w:szCs w:val="24"/>
          <w:rtl/>
          <w:lang w:bidi="fa-IR"/>
        </w:rPr>
        <w:t>01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>/140</w:t>
      </w:r>
      <w:r w:rsidR="008122EA">
        <w:rPr>
          <w:rFonts w:hint="cs"/>
          <w:b/>
          <w:bCs/>
          <w:sz w:val="24"/>
          <w:szCs w:val="24"/>
          <w:rtl/>
          <w:lang w:bidi="fa-IR"/>
        </w:rPr>
        <w:t>4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ساعت </w:t>
      </w:r>
      <w:r w:rsidR="008122EA">
        <w:rPr>
          <w:rFonts w:hint="cs"/>
          <w:b/>
          <w:bCs/>
          <w:sz w:val="24"/>
          <w:szCs w:val="24"/>
          <w:rtl/>
          <w:lang w:bidi="fa-IR"/>
        </w:rPr>
        <w:t>9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صبح لغایت 12 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>شرکت کارمندان دولت در این مزایده منع قانونی نداشته و در صورت برابری قیمت پیشنهادی اولویت با کارمند دولت میباشد.</w:t>
      </w:r>
    </w:p>
    <w:p w:rsidR="004F017A" w:rsidRPr="00784361" w:rsidRDefault="004F017A" w:rsidP="008122E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3-ضمانت نامه : مبلغ تضمین شرکت در مزایده </w:t>
      </w:r>
      <w:r w:rsidR="008122EA">
        <w:rPr>
          <w:rFonts w:hint="cs"/>
          <w:b/>
          <w:bCs/>
          <w:sz w:val="24"/>
          <w:szCs w:val="24"/>
          <w:rtl/>
          <w:lang w:bidi="fa-IR"/>
        </w:rPr>
        <w:t>850.000.000</w:t>
      </w:r>
      <w:r w:rsidR="00375082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ریال بصورت ضمانتنامه بانکی نزد  بانک مرکزی بنام اداره کل دامپزشکی استان تهران میباشد. شماره اقتصادی 411381184119، شناسه ملی 14002700070و کد پستی 1497716185میباشد. </w:t>
      </w:r>
    </w:p>
    <w:p w:rsidR="004F017A" w:rsidRPr="00784361" w:rsidRDefault="004F017A" w:rsidP="008122E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>4- برنامه زمان</w:t>
      </w:r>
      <w:r w:rsidR="008122EA">
        <w:rPr>
          <w:rFonts w:hint="cs"/>
          <w:b/>
          <w:bCs/>
          <w:sz w:val="24"/>
          <w:szCs w:val="24"/>
          <w:rtl/>
          <w:lang w:bidi="fa-IR"/>
        </w:rPr>
        <w:t xml:space="preserve"> بندی 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مزایده :</w:t>
      </w:r>
    </w:p>
    <w:p w:rsidR="004F017A" w:rsidRPr="00784361" w:rsidRDefault="004F017A" w:rsidP="008122EA">
      <w:pPr>
        <w:jc w:val="right"/>
        <w:rPr>
          <w:b/>
          <w:bCs/>
          <w:sz w:val="24"/>
          <w:szCs w:val="24"/>
          <w:rtl/>
        </w:rPr>
      </w:pPr>
      <w:r w:rsidRPr="00784361">
        <w:rPr>
          <w:rFonts w:hint="cs"/>
          <w:b/>
          <w:bCs/>
          <w:sz w:val="24"/>
          <w:szCs w:val="24"/>
          <w:rtl/>
        </w:rPr>
        <w:t>تاریخ انتشار در سامانه</w:t>
      </w:r>
      <w:r>
        <w:rPr>
          <w:rFonts w:hint="cs"/>
          <w:b/>
          <w:bCs/>
          <w:sz w:val="24"/>
          <w:szCs w:val="24"/>
          <w:rtl/>
        </w:rPr>
        <w:t xml:space="preserve"> و چاپ آگهی در روزنامه</w:t>
      </w:r>
      <w:r w:rsidRPr="00784361">
        <w:rPr>
          <w:rFonts w:hint="cs"/>
          <w:b/>
          <w:bCs/>
          <w:sz w:val="24"/>
          <w:szCs w:val="24"/>
          <w:rtl/>
        </w:rPr>
        <w:t xml:space="preserve"> : </w:t>
      </w:r>
      <w:r w:rsidR="008122EA">
        <w:rPr>
          <w:rFonts w:hint="cs"/>
          <w:b/>
          <w:bCs/>
          <w:sz w:val="24"/>
          <w:szCs w:val="24"/>
          <w:rtl/>
        </w:rPr>
        <w:t>دو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84361">
        <w:rPr>
          <w:rFonts w:hint="cs"/>
          <w:b/>
          <w:bCs/>
          <w:sz w:val="24"/>
          <w:szCs w:val="24"/>
          <w:rtl/>
        </w:rPr>
        <w:t xml:space="preserve">شنبه  </w:t>
      </w:r>
      <w:r w:rsidR="008122EA">
        <w:rPr>
          <w:rFonts w:hint="cs"/>
          <w:b/>
          <w:bCs/>
          <w:sz w:val="24"/>
          <w:szCs w:val="24"/>
          <w:rtl/>
        </w:rPr>
        <w:t>18</w:t>
      </w:r>
      <w:r w:rsidRPr="00784361">
        <w:rPr>
          <w:rFonts w:hint="cs"/>
          <w:b/>
          <w:bCs/>
          <w:sz w:val="24"/>
          <w:szCs w:val="24"/>
          <w:rtl/>
        </w:rPr>
        <w:t>/</w:t>
      </w:r>
      <w:r w:rsidR="008122EA">
        <w:rPr>
          <w:rFonts w:hint="cs"/>
          <w:b/>
          <w:bCs/>
          <w:sz w:val="24"/>
          <w:szCs w:val="24"/>
          <w:rtl/>
        </w:rPr>
        <w:t>01</w:t>
      </w:r>
      <w:r w:rsidRPr="00784361">
        <w:rPr>
          <w:rFonts w:hint="cs"/>
          <w:b/>
          <w:bCs/>
          <w:sz w:val="24"/>
          <w:szCs w:val="24"/>
          <w:rtl/>
        </w:rPr>
        <w:t>/140</w:t>
      </w:r>
      <w:r w:rsidR="008122EA">
        <w:rPr>
          <w:rFonts w:hint="cs"/>
          <w:b/>
          <w:bCs/>
          <w:sz w:val="24"/>
          <w:szCs w:val="24"/>
          <w:rtl/>
        </w:rPr>
        <w:t>4</w:t>
      </w:r>
    </w:p>
    <w:p w:rsidR="004F017A" w:rsidRPr="0003585F" w:rsidRDefault="004F017A" w:rsidP="008122EA">
      <w:pPr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784361">
        <w:rPr>
          <w:rFonts w:hint="cs"/>
          <w:b/>
          <w:bCs/>
          <w:sz w:val="24"/>
          <w:szCs w:val="24"/>
          <w:rtl/>
        </w:rPr>
        <w:t xml:space="preserve"> 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مهلت زمانی دریافت اسناد : شنبه 23/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01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/140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4</w:t>
      </w:r>
    </w:p>
    <w:p w:rsidR="004F017A" w:rsidRPr="0003585F" w:rsidRDefault="004F017A" w:rsidP="008122EA">
      <w:pPr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مهلت بازدید : روز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سه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شنبه مورخ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19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/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01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/140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4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از 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ساعت 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09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:00لغایت 12:00</w:t>
      </w:r>
    </w:p>
    <w:p w:rsidR="004F017A" w:rsidRPr="0003585F" w:rsidRDefault="004F017A" w:rsidP="008122EA">
      <w:pPr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مهلت زمانی ارائه پیشنهاد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: چهار 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شنبه 0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3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/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02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/140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4</w:t>
      </w:r>
    </w:p>
    <w:p w:rsidR="004F017A" w:rsidRPr="0003585F" w:rsidRDefault="004F017A" w:rsidP="008122EA">
      <w:pPr>
        <w:bidi/>
        <w:rPr>
          <w:b/>
          <w:bCs/>
          <w:sz w:val="24"/>
          <w:szCs w:val="24"/>
          <w:rtl/>
        </w:rPr>
      </w:pP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lastRenderedPageBreak/>
        <w:t xml:space="preserve"> بازگشایی پاکت ها :ساعت 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10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صبح روز شنبه 0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6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/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02</w:t>
      </w:r>
      <w:r w:rsidRPr="0003585F">
        <w:rPr>
          <w:rFonts w:ascii="Calibri" w:eastAsia="Calibri" w:hAnsi="Calibri" w:cs="Arial" w:hint="cs"/>
          <w:b/>
          <w:bCs/>
          <w:sz w:val="24"/>
          <w:szCs w:val="24"/>
          <w:rtl/>
        </w:rPr>
        <w:t>/140</w:t>
      </w:r>
      <w:r w:rsidR="008122EA">
        <w:rPr>
          <w:rFonts w:ascii="Calibri" w:eastAsia="Calibri" w:hAnsi="Calibri" w:cs="Arial" w:hint="cs"/>
          <w:b/>
          <w:bCs/>
          <w:sz w:val="24"/>
          <w:szCs w:val="24"/>
          <w:rtl/>
        </w:rPr>
        <w:t>4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</w:rPr>
      </w:pP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>توجه : شرایط شرکت در مزایده و کلیه صفحات اسناد باید به امضا و یا مهر پیشنهاد دهنده رسیده باشد  در صورت امضا یا مهر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نشدن یک یا چند صفحه ازاسناد ، 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>به منزله قبول کلیه مدارک بوده و حق هیچگونه اعتراض یا تفسیر به رای  ندارد و وجوه واریزی صرفا باید بنام فرد پیشنهاد دهنده باشد.</w:t>
      </w:r>
    </w:p>
    <w:p w:rsidR="004F017A" w:rsidRPr="00784361" w:rsidRDefault="004F017A" w:rsidP="008122EA">
      <w:pPr>
        <w:jc w:val="right"/>
        <w:rPr>
          <w:b/>
          <w:bCs/>
          <w:sz w:val="24"/>
          <w:szCs w:val="24"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5- برنده مزایده مکلف است حد اکثر ظرف مدت 4 روز کاری پس از اعلام به برنده ، نسبت به واریز وجه قیمت  پیشنهادی به حساب شماره    </w:t>
      </w:r>
      <w:r w:rsidR="008122EA">
        <w:rPr>
          <w:rFonts w:hint="cs"/>
          <w:b/>
          <w:bCs/>
          <w:sz w:val="24"/>
          <w:szCs w:val="24"/>
          <w:rtl/>
          <w:lang w:bidi="fa-IR"/>
        </w:rPr>
        <w:t>4074000901866502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به شناسه واریز </w:t>
      </w:r>
      <w:r w:rsidR="008122EA">
        <w:rPr>
          <w:rFonts w:hint="cs"/>
          <w:b/>
          <w:bCs/>
          <w:sz w:val="24"/>
          <w:szCs w:val="24"/>
          <w:rtl/>
          <w:lang w:bidi="fa-IR"/>
        </w:rPr>
        <w:t>318038374210203000000000135574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 بنام درامد حاصل از فروش ماشین آلات نزد بانک مرکزی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413AE6">
        <w:rPr>
          <w:rFonts w:hint="cs"/>
          <w:b/>
          <w:bCs/>
          <w:sz w:val="24"/>
          <w:szCs w:val="24"/>
          <w:rtl/>
          <w:lang w:bidi="fa-IR"/>
        </w:rPr>
        <w:t xml:space="preserve">جمهوری اسلامی ایران </w:t>
      </w:r>
      <w:r>
        <w:rPr>
          <w:rFonts w:hint="cs"/>
          <w:b/>
          <w:bCs/>
          <w:sz w:val="24"/>
          <w:szCs w:val="24"/>
          <w:rtl/>
          <w:lang w:bidi="fa-IR"/>
        </w:rPr>
        <w:t>از طریق سامانه تدارکات الکترونیک دولت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اقدام و فیش واریزی را به اداره امور مالی تحویل نماید.</w:t>
      </w:r>
      <w:r>
        <w:rPr>
          <w:rFonts w:hint="cs"/>
          <w:b/>
          <w:bCs/>
          <w:sz w:val="24"/>
          <w:szCs w:val="24"/>
          <w:rtl/>
          <w:lang w:bidi="fa-IR"/>
        </w:rPr>
        <w:t>در صورتی که برنده اول نسبت به واریزمبلغ پیشنهادی استنکاف ورزد</w:t>
      </w:r>
      <w:r w:rsidRPr="00784361">
        <w:rPr>
          <w:rFonts w:hint="cs"/>
          <w:b/>
          <w:bCs/>
          <w:sz w:val="24"/>
          <w:szCs w:val="24"/>
          <w:rtl/>
          <w:lang w:bidi="fa-IR"/>
        </w:rPr>
        <w:t xml:space="preserve"> ضمانتنامه شرکت در مزایده وی طبق قانون به نفع دولت ضبط و خودرو به برنده دوم فروخته خواهد شد.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>6- تحویل خودرو به برنده در صورت طی شدن مراحل قانونی (پرداخت کامل بهای خودرو ، ارسال صورتجلسه تعیین برنده به همراه نظریه کارشناسی رسمی دادگستری ومدارک فروش خودرو به اداره کل اموال و اوراق بهادار استان تهران و صدور دستورفک پلاک و تحویل خودرو از طرف آن اداره کل امکان پذیر میباشد)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>صدور و ارائه سند خودرو از طرف اداره کل اموال و اوراق بهادار استان تهران بعد از طی شدن مراحل قانونی امکان پذیر میباشد.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>7- در صورت هر گونه ابهام در اسناد و شرایط مزایده ، مزایده گران میتوانند با درخواست کتبی و یا مکاتبه ، موضوع را تا 5 روز قبل از بازگشایی مطرح نمایند . عدم اظهار نظر به منزله واضح بودن موارد مطرح شده در اسناد و شرایط مزایده میباشد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>8- اداره کل دامپزشکی استان تهران در رد یا قبول کلیه پیشنهادات مختار بوده و شرکت در مزایده هیچگونه حقی برای مزایده گران ایجاد نخواهد کرد.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u w:val="single"/>
          <w:rtl/>
          <w:lang w:bidi="fa-IR"/>
        </w:rPr>
      </w:pPr>
    </w:p>
    <w:p w:rsidR="004F017A" w:rsidRPr="00784361" w:rsidRDefault="004F017A" w:rsidP="004F017A">
      <w:pPr>
        <w:jc w:val="center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>9- کلیه هزینه های نقل و انتقال و صدور سند و دیگر هزینه های مترتب بر این مزایده بعهده مزایده گر برنده میباشد.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  <w:r w:rsidRPr="00784361">
        <w:rPr>
          <w:rFonts w:hint="cs"/>
          <w:b/>
          <w:bCs/>
          <w:sz w:val="24"/>
          <w:szCs w:val="24"/>
          <w:rtl/>
          <w:lang w:bidi="fa-IR"/>
        </w:rPr>
        <w:t>10- مدت اعتبار پیشنهاد قیمت : یک ماه.بعد از بازگشایی پاکت ها</w:t>
      </w:r>
    </w:p>
    <w:p w:rsidR="004F017A" w:rsidRPr="00784361" w:rsidRDefault="004F017A" w:rsidP="004F017A">
      <w:pPr>
        <w:jc w:val="right"/>
        <w:rPr>
          <w:b/>
          <w:bCs/>
          <w:sz w:val="24"/>
          <w:szCs w:val="24"/>
          <w:rtl/>
          <w:lang w:bidi="fa-IR"/>
        </w:rPr>
      </w:pPr>
    </w:p>
    <w:p w:rsidR="00E80550" w:rsidRDefault="00E80550" w:rsidP="004F017A">
      <w:pPr>
        <w:jc w:val="right"/>
      </w:pPr>
    </w:p>
    <w:sectPr w:rsidR="00E8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5C"/>
    <w:rsid w:val="0001202B"/>
    <w:rsid w:val="00032E63"/>
    <w:rsid w:val="00036887"/>
    <w:rsid w:val="00050291"/>
    <w:rsid w:val="000515B7"/>
    <w:rsid w:val="00057906"/>
    <w:rsid w:val="000908D7"/>
    <w:rsid w:val="00096506"/>
    <w:rsid w:val="000C0FA9"/>
    <w:rsid w:val="000C7C49"/>
    <w:rsid w:val="000F19D9"/>
    <w:rsid w:val="000F4ABE"/>
    <w:rsid w:val="00122417"/>
    <w:rsid w:val="00124625"/>
    <w:rsid w:val="00140FBF"/>
    <w:rsid w:val="00141380"/>
    <w:rsid w:val="001462F8"/>
    <w:rsid w:val="001716D9"/>
    <w:rsid w:val="00180E00"/>
    <w:rsid w:val="00194403"/>
    <w:rsid w:val="001A1BD0"/>
    <w:rsid w:val="001D55F6"/>
    <w:rsid w:val="00227EE5"/>
    <w:rsid w:val="002436DE"/>
    <w:rsid w:val="002479E4"/>
    <w:rsid w:val="00252C27"/>
    <w:rsid w:val="0028081F"/>
    <w:rsid w:val="0028169F"/>
    <w:rsid w:val="002A61F2"/>
    <w:rsid w:val="002D5B77"/>
    <w:rsid w:val="002D5D88"/>
    <w:rsid w:val="00300082"/>
    <w:rsid w:val="00317D99"/>
    <w:rsid w:val="003306E6"/>
    <w:rsid w:val="003447ED"/>
    <w:rsid w:val="00344E34"/>
    <w:rsid w:val="003700CC"/>
    <w:rsid w:val="00375082"/>
    <w:rsid w:val="00382C4B"/>
    <w:rsid w:val="003939E6"/>
    <w:rsid w:val="00397614"/>
    <w:rsid w:val="003C3B8C"/>
    <w:rsid w:val="003D668C"/>
    <w:rsid w:val="003F2B08"/>
    <w:rsid w:val="003F45AB"/>
    <w:rsid w:val="00413AE6"/>
    <w:rsid w:val="00415027"/>
    <w:rsid w:val="00415393"/>
    <w:rsid w:val="00420039"/>
    <w:rsid w:val="004237F6"/>
    <w:rsid w:val="00427D1B"/>
    <w:rsid w:val="00430F9A"/>
    <w:rsid w:val="004617CA"/>
    <w:rsid w:val="004C62AC"/>
    <w:rsid w:val="004E768C"/>
    <w:rsid w:val="004F017A"/>
    <w:rsid w:val="00547E51"/>
    <w:rsid w:val="00554A76"/>
    <w:rsid w:val="00586263"/>
    <w:rsid w:val="005C2B67"/>
    <w:rsid w:val="005C3014"/>
    <w:rsid w:val="005F066C"/>
    <w:rsid w:val="006029C7"/>
    <w:rsid w:val="006057E5"/>
    <w:rsid w:val="006201A4"/>
    <w:rsid w:val="00620990"/>
    <w:rsid w:val="00656472"/>
    <w:rsid w:val="00672931"/>
    <w:rsid w:val="00682B5B"/>
    <w:rsid w:val="006836DA"/>
    <w:rsid w:val="00704C77"/>
    <w:rsid w:val="00711E11"/>
    <w:rsid w:val="007124EE"/>
    <w:rsid w:val="007135C6"/>
    <w:rsid w:val="00727801"/>
    <w:rsid w:val="00765E32"/>
    <w:rsid w:val="007813FE"/>
    <w:rsid w:val="007B1B5C"/>
    <w:rsid w:val="007B1E93"/>
    <w:rsid w:val="007B4E91"/>
    <w:rsid w:val="007C0CBC"/>
    <w:rsid w:val="007C3BFF"/>
    <w:rsid w:val="007C4A8D"/>
    <w:rsid w:val="007D4A09"/>
    <w:rsid w:val="0080748A"/>
    <w:rsid w:val="008122EA"/>
    <w:rsid w:val="00817278"/>
    <w:rsid w:val="00827348"/>
    <w:rsid w:val="008362E0"/>
    <w:rsid w:val="00837499"/>
    <w:rsid w:val="00846DE0"/>
    <w:rsid w:val="008473F4"/>
    <w:rsid w:val="008519B0"/>
    <w:rsid w:val="0085363A"/>
    <w:rsid w:val="00855B67"/>
    <w:rsid w:val="00857B37"/>
    <w:rsid w:val="00862DE3"/>
    <w:rsid w:val="00881B76"/>
    <w:rsid w:val="00884196"/>
    <w:rsid w:val="00885129"/>
    <w:rsid w:val="008852D9"/>
    <w:rsid w:val="008C1077"/>
    <w:rsid w:val="008F418B"/>
    <w:rsid w:val="0092361A"/>
    <w:rsid w:val="00932C89"/>
    <w:rsid w:val="00946A7E"/>
    <w:rsid w:val="009638ED"/>
    <w:rsid w:val="00973EC7"/>
    <w:rsid w:val="00983DD9"/>
    <w:rsid w:val="009928F5"/>
    <w:rsid w:val="009D2FBE"/>
    <w:rsid w:val="00A00776"/>
    <w:rsid w:val="00A27934"/>
    <w:rsid w:val="00A3722F"/>
    <w:rsid w:val="00A414EF"/>
    <w:rsid w:val="00A46D27"/>
    <w:rsid w:val="00A6086B"/>
    <w:rsid w:val="00AB6ABD"/>
    <w:rsid w:val="00AB7623"/>
    <w:rsid w:val="00AC6C98"/>
    <w:rsid w:val="00B02050"/>
    <w:rsid w:val="00B02C6B"/>
    <w:rsid w:val="00B064CE"/>
    <w:rsid w:val="00B1187E"/>
    <w:rsid w:val="00B22493"/>
    <w:rsid w:val="00B25F7B"/>
    <w:rsid w:val="00B300F6"/>
    <w:rsid w:val="00B37515"/>
    <w:rsid w:val="00B4017C"/>
    <w:rsid w:val="00B5279E"/>
    <w:rsid w:val="00B65AAB"/>
    <w:rsid w:val="00B66964"/>
    <w:rsid w:val="00B72D67"/>
    <w:rsid w:val="00B77BCF"/>
    <w:rsid w:val="00B933F6"/>
    <w:rsid w:val="00B94E01"/>
    <w:rsid w:val="00BA0FC9"/>
    <w:rsid w:val="00BA32CB"/>
    <w:rsid w:val="00BA72AF"/>
    <w:rsid w:val="00BC351C"/>
    <w:rsid w:val="00BC6C8B"/>
    <w:rsid w:val="00C3253D"/>
    <w:rsid w:val="00C33478"/>
    <w:rsid w:val="00C33E6B"/>
    <w:rsid w:val="00C3578F"/>
    <w:rsid w:val="00C72701"/>
    <w:rsid w:val="00C8320B"/>
    <w:rsid w:val="00C852DA"/>
    <w:rsid w:val="00C854A9"/>
    <w:rsid w:val="00C92F8C"/>
    <w:rsid w:val="00CA07B4"/>
    <w:rsid w:val="00CA0EC4"/>
    <w:rsid w:val="00CA2FD7"/>
    <w:rsid w:val="00CD73E7"/>
    <w:rsid w:val="00CF1826"/>
    <w:rsid w:val="00CF4258"/>
    <w:rsid w:val="00D003EE"/>
    <w:rsid w:val="00D218A8"/>
    <w:rsid w:val="00D56702"/>
    <w:rsid w:val="00D64126"/>
    <w:rsid w:val="00D86B9A"/>
    <w:rsid w:val="00DA056C"/>
    <w:rsid w:val="00DB3D6F"/>
    <w:rsid w:val="00E1728F"/>
    <w:rsid w:val="00E339AE"/>
    <w:rsid w:val="00E43AA9"/>
    <w:rsid w:val="00E4427E"/>
    <w:rsid w:val="00E634D3"/>
    <w:rsid w:val="00E64FE5"/>
    <w:rsid w:val="00E80550"/>
    <w:rsid w:val="00E91878"/>
    <w:rsid w:val="00E97868"/>
    <w:rsid w:val="00EE112B"/>
    <w:rsid w:val="00F14D9E"/>
    <w:rsid w:val="00F16A66"/>
    <w:rsid w:val="00F213EC"/>
    <w:rsid w:val="00F21D7B"/>
    <w:rsid w:val="00F3791B"/>
    <w:rsid w:val="00F434F6"/>
    <w:rsid w:val="00F439B7"/>
    <w:rsid w:val="00FB50AB"/>
    <w:rsid w:val="00FC19C0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FEAE"/>
  <w15:chartTrackingRefBased/>
  <w15:docId w15:val="{B6E0FF2C-783B-4B20-B533-22E4FD6A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1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sayedali takmili</dc:creator>
  <cp:keywords/>
  <dc:description/>
  <cp:lastModifiedBy>sayedali takmili</cp:lastModifiedBy>
  <cp:revision>5</cp:revision>
  <dcterms:created xsi:type="dcterms:W3CDTF">2025-04-05T08:31:00Z</dcterms:created>
  <dcterms:modified xsi:type="dcterms:W3CDTF">2025-04-05T09:21:00Z</dcterms:modified>
</cp:coreProperties>
</file>